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TP/_layouts/15/DocIdRedir.aspx?ID=PVIS-762923564-243</Url>
      <Description>PVIS-762923564-243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PVIS-762923564-243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8642F-66D6-4F08-8ECA-4786ACB7DF47}"/>
</file>

<file path=customXml/itemProps3.xml><?xml version="1.0" encoding="utf-8"?>
<ds:datastoreItem xmlns:ds="http://schemas.openxmlformats.org/officeDocument/2006/customXml" ds:itemID="{586CCBAF-7227-458F-BF3F-A9EFFEBC86E7}"/>
</file>

<file path=customXml/itemProps4.xml><?xml version="1.0" encoding="utf-8"?>
<ds:datastoreItem xmlns:ds="http://schemas.openxmlformats.org/officeDocument/2006/customXml" ds:itemID="{D84A7149-74F5-437E-B21C-86C714F4DAFA}"/>
</file>

<file path=customXml/itemProps5.xml><?xml version="1.0" encoding="utf-8"?>
<ds:datastoreItem xmlns:ds="http://schemas.openxmlformats.org/officeDocument/2006/customXml" ds:itemID="{4370CB99-2A18-414C-94DA-3803E01B61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0x01010066872F3CC8F7D84995438B893169A0800200535A962CB2BD0645A66A5EA8858DF87D</vt:lpwstr>
  </property>
  <property fmtid="{D5CDD505-2E9C-101B-9397-08002B2CF9AE}" pid="11" name="_dlc_DocIdItemGuid">
    <vt:lpwstr>188a740a-4651-4447-92dd-f3bfc11600bd</vt:lpwstr>
  </property>
</Properties>
</file>